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AB" w:rsidRDefault="00DE4BAB" w:rsidP="00DE4BAB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proofErr w:type="gramStart"/>
      <w:r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109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DE4BAB" w:rsidRPr="00B3704D" w:rsidRDefault="00DE4BAB" w:rsidP="00DE4BAB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增能輔導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社群申請書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446"/>
        <w:gridCol w:w="268"/>
        <w:gridCol w:w="224"/>
        <w:gridCol w:w="218"/>
        <w:gridCol w:w="400"/>
        <w:gridCol w:w="1348"/>
        <w:gridCol w:w="1062"/>
        <w:gridCol w:w="444"/>
        <w:gridCol w:w="540"/>
        <w:gridCol w:w="716"/>
        <w:gridCol w:w="992"/>
        <w:gridCol w:w="2427"/>
      </w:tblGrid>
      <w:tr w:rsidR="008C3D6F" w:rsidRPr="006730BE" w:rsidTr="008C3D6F">
        <w:trPr>
          <w:trHeight w:val="4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876FA8">
        <w:trPr>
          <w:trHeight w:val="46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292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877C9C" w:rsidP="00877C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877C9C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414138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□</w:t>
            </w:r>
            <w:r w:rsidR="004E537F">
              <w:rPr>
                <w:rFonts w:ascii="標楷體" w:eastAsia="標楷體" w:hAnsi="標楷體" w:hint="eastAsia"/>
                <w:color w:val="000000" w:themeColor="text1"/>
                <w:sz w:val="28"/>
              </w:rPr>
              <w:t>輔導</w:t>
            </w:r>
            <w:r w:rsidR="00651E18">
              <w:rPr>
                <w:rFonts w:ascii="標楷體" w:eastAsia="標楷體" w:hAnsi="標楷體" w:hint="eastAsia"/>
                <w:color w:val="000000" w:themeColor="text1"/>
                <w:sz w:val="28"/>
              </w:rPr>
              <w:t>考照</w:t>
            </w:r>
            <w:r w:rsidR="0041413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□輔導競賽</w:t>
            </w:r>
          </w:p>
        </w:tc>
      </w:tr>
      <w:tr w:rsidR="00501ED4" w:rsidRPr="006730BE" w:rsidTr="00501ED4">
        <w:trPr>
          <w:trHeight w:val="57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rPr>
          <w:trHeight w:val="20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rPr>
          <w:trHeight w:val="2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876FA8">
        <w:trPr>
          <w:trHeight w:val="39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501ED4"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C3D6F" w:rsidRPr="006730BE" w:rsidTr="008C3D6F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501ED4">
        <w:trPr>
          <w:trHeight w:val="411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　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501ED4">
        <w:trPr>
          <w:trHeight w:val="390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876FA8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proofErr w:type="gramStart"/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</w:t>
            </w:r>
            <w:proofErr w:type="gramEnd"/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請簡述本課程希望培育的人才類型/就業的職場領域有哪些？）</w:t>
            </w:r>
          </w:p>
        </w:tc>
      </w:tr>
      <w:tr w:rsidR="00E5260E" w:rsidRPr="006730BE" w:rsidTr="00ED7B6B">
        <w:trPr>
          <w:trHeight w:val="113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D7B6B" w:rsidRDefault="00E5260E" w:rsidP="00E5260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ED7B6B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E5260E" w:rsidRPr="006730BE" w:rsidTr="00E5260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lastRenderedPageBreak/>
              <w:t>社群計畫執行方向</w:t>
            </w:r>
          </w:p>
        </w:tc>
      </w:tr>
      <w:tr w:rsidR="00ED7B6B" w:rsidRPr="006730BE" w:rsidTr="007579AD">
        <w:trPr>
          <w:trHeight w:hRule="exact"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ED7B6B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D7B6B" w:rsidRPr="006730BE" w:rsidTr="007579AD">
        <w:trPr>
          <w:trHeight w:val="2835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6C78F9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  <w:shd w:val="pct15" w:color="auto" w:fill="FFFFFF"/>
              </w:rPr>
            </w:pPr>
            <w:proofErr w:type="gramStart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</w:t>
            </w:r>
            <w:proofErr w:type="gramEnd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</w:t>
            </w:r>
            <w:proofErr w:type="gramStart"/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）</w:t>
            </w:r>
            <w:proofErr w:type="gramEnd"/>
          </w:p>
        </w:tc>
      </w:tr>
      <w:tr w:rsidR="00CC685D" w:rsidRPr="006730BE" w:rsidTr="007579AD">
        <w:trPr>
          <w:trHeight w:val="53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ED7B6B" w:rsidRDefault="00DE16A2" w:rsidP="00DE16A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場次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預計日期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活動主題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活動類型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16A2" w:rsidRPr="00DE16A2" w:rsidRDefault="00DE16A2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活動簡述</w:t>
            </w:r>
          </w:p>
        </w:tc>
      </w:tr>
      <w:tr w:rsidR="00CC685D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501ED4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501ED4" w:rsidRPr="006730BE" w:rsidTr="007579AD">
        <w:trPr>
          <w:trHeight w:val="1701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7807" w:rsidRDefault="00767807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</w:t>
            </w:r>
            <w:r w:rsidRPr="00DE16A2">
              <w:rPr>
                <w:rFonts w:eastAsia="標楷體" w:hint="eastAsia"/>
              </w:rPr>
              <w:t>目</w:t>
            </w:r>
            <w:r w:rsidRPr="00DE16A2">
              <w:rPr>
                <w:rFonts w:ascii="標楷體" w:eastAsia="標楷體" w:hAnsi="標楷體" w:hint="eastAsia"/>
              </w:rPr>
              <w:t>的型討論會議</w:t>
            </w:r>
          </w:p>
          <w:p w:rsidR="00767807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□專業領域演講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□辦理工作坊</w:t>
            </w:r>
          </w:p>
          <w:p w:rsidR="00767807" w:rsidRPr="00DE16A2" w:rsidRDefault="00767807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16A2">
              <w:rPr>
                <w:rFonts w:ascii="標楷體" w:eastAsia="標楷體" w:hAnsi="標楷體" w:hint="eastAsia"/>
              </w:rPr>
              <w:t>□其他:________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807" w:rsidRPr="00DE16A2" w:rsidRDefault="00767807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預期成果</w:t>
            </w: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8F35A2" w:rsidRPr="008F35A2" w:rsidRDefault="008F35A2" w:rsidP="008F35A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  <w:p w:rsidR="008F35A2" w:rsidRPr="00501ED4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  <w:sz w:val="28"/>
              </w:rPr>
            </w:pPr>
          </w:p>
        </w:tc>
      </w:tr>
      <w:tr w:rsidR="008F35A2" w:rsidRPr="006730BE" w:rsidTr="007579AD">
        <w:trPr>
          <w:trHeight w:val="2835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</w:t>
            </w:r>
            <w:proofErr w:type="gramStart"/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個</w:t>
            </w:r>
            <w:proofErr w:type="gramEnd"/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教材製作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Pr="005C2857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8F35A2" w:rsidRPr="006730BE" w:rsidTr="00501ED4">
        <w:trPr>
          <w:trHeight w:val="1985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35A2" w:rsidRDefault="008F35A2" w:rsidP="00501ED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8F35A2" w:rsidRDefault="008F35A2" w:rsidP="00501ED4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501ED4" w:rsidRPr="00A53BA9" w:rsidTr="008F35A2">
        <w:trPr>
          <w:cantSplit/>
          <w:trHeight w:val="855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B23B1F" w:rsidRDefault="00767807" w:rsidP="0076780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社群召集人</w:t>
            </w:r>
          </w:p>
          <w:p w:rsidR="00767807" w:rsidRPr="00DC3B2E" w:rsidRDefault="00767807" w:rsidP="0076780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A53BA9" w:rsidTr="008F35A2">
        <w:trPr>
          <w:cantSplit/>
          <w:trHeight w:val="821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Pr="00DC7D35" w:rsidRDefault="00767807" w:rsidP="00767807">
            <w:pPr>
              <w:jc w:val="center"/>
              <w:rPr>
                <w:rFonts w:eastAsia="標楷體"/>
                <w:b/>
              </w:rPr>
            </w:pPr>
            <w:r w:rsidRPr="00DC7D35"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□通過</w:t>
            </w:r>
          </w:p>
          <w:p w:rsidR="00767807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□修正後通過</w:t>
            </w:r>
          </w:p>
          <w:p w:rsidR="00767807" w:rsidRPr="00DC7D35" w:rsidRDefault="00767807" w:rsidP="00767807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67807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教資中心</w:t>
            </w:r>
          </w:p>
          <w:p w:rsidR="00767807" w:rsidRPr="000242FA" w:rsidRDefault="00767807" w:rsidP="0076780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承辦人簽章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07" w:rsidRPr="00DC3B2E" w:rsidRDefault="00767807" w:rsidP="0076780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01ED4" w:rsidRPr="00501ED4" w:rsidRDefault="00501ED4" w:rsidP="00501ED4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proofErr w:type="gramStart"/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proofErr w:type="gramEnd"/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AA0C3E" w:rsidRPr="00501ED4" w:rsidRDefault="00AA0C3E" w:rsidP="00AA0C3E">
      <w:pPr>
        <w:pStyle w:val="a7"/>
        <w:ind w:leftChars="0"/>
        <w:rPr>
          <w:rFonts w:ascii="標楷體" w:eastAsia="標楷體" w:hAnsi="標楷體"/>
          <w:b/>
          <w:sz w:val="32"/>
        </w:rPr>
      </w:pPr>
    </w:p>
    <w:p w:rsidR="008D7487" w:rsidRDefault="00AA0C3E" w:rsidP="00501ED4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tbl>
      <w:tblPr>
        <w:tblpPr w:leftFromText="180" w:rightFromText="180" w:vertAnchor="text" w:horzAnchor="page" w:tblpXSpec="center" w:tblpY="181"/>
        <w:tblOverlap w:val="never"/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15"/>
        <w:gridCol w:w="784"/>
        <w:gridCol w:w="859"/>
        <w:gridCol w:w="3973"/>
        <w:gridCol w:w="3243"/>
      </w:tblGrid>
      <w:tr w:rsidR="00BA29DA" w:rsidRPr="00E837DF" w:rsidTr="00037441">
        <w:trPr>
          <w:trHeight w:val="552"/>
          <w:jc w:val="center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A29DA" w:rsidRPr="007C2E8B" w:rsidRDefault="00BA29DA" w:rsidP="00037441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10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9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BA29DA" w:rsidRPr="00E837DF" w:rsidTr="00037441">
        <w:trPr>
          <w:trHeight w:val="336"/>
          <w:jc w:val="center"/>
        </w:trPr>
        <w:tc>
          <w:tcPr>
            <w:tcW w:w="11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96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29DA" w:rsidRPr="00E837DF" w:rsidRDefault="00BA29DA" w:rsidP="00037441">
            <w:pPr>
              <w:rPr>
                <w:rFonts w:eastAsia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815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784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859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973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3243" w:type="dxa"/>
            <w:shd w:val="clear" w:color="auto" w:fill="FFFFFF" w:themeFill="background1"/>
          </w:tcPr>
          <w:p w:rsidR="00BA29DA" w:rsidRPr="00E837DF" w:rsidRDefault="00BA29DA" w:rsidP="00037441">
            <w:pPr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BA29DA" w:rsidRPr="00E837DF" w:rsidTr="00037441">
        <w:trPr>
          <w:trHeight w:val="662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雜支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 w:hint="eastAsia"/>
                <w:sz w:val="22"/>
              </w:rPr>
              <w:t>如教學材料費、文具、紙張、錄音帶、資訊耗材、資料夾、郵資等</w:t>
            </w:r>
            <w:r w:rsidRPr="008A2D86">
              <w:rPr>
                <w:rFonts w:eastAsia="標楷體" w:hint="eastAsia"/>
                <w:sz w:val="22"/>
              </w:rPr>
              <w:t>(</w:t>
            </w:r>
            <w:r w:rsidRPr="008A2D86">
              <w:rPr>
                <w:rFonts w:eastAsia="標楷體" w:hint="eastAsia"/>
                <w:sz w:val="22"/>
              </w:rPr>
              <w:t>上限</w:t>
            </w:r>
            <w:r w:rsidRPr="008A2D86">
              <w:rPr>
                <w:rFonts w:eastAsia="標楷體" w:hint="eastAsia"/>
                <w:sz w:val="22"/>
              </w:rPr>
              <w:t>10</w:t>
            </w:r>
            <w:r w:rsidRPr="008A2D86">
              <w:rPr>
                <w:rFonts w:eastAsia="標楷體"/>
                <w:sz w:val="22"/>
              </w:rPr>
              <w:t>,000</w:t>
            </w:r>
            <w:r w:rsidRPr="008A2D86">
              <w:rPr>
                <w:rFonts w:eastAsia="標楷體" w:hint="eastAsia"/>
                <w:sz w:val="22"/>
              </w:rPr>
              <w:t>元</w:t>
            </w:r>
            <w:r w:rsidRPr="008A2D8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885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印刷費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執行計畫辦理會議、講座及活動所需海報、資料、成果等相關印刷費用核實報支。</w:t>
            </w:r>
            <w:r w:rsidRPr="008A2D86">
              <w:rPr>
                <w:rFonts w:eastAsia="標楷體" w:hint="eastAsia"/>
                <w:sz w:val="22"/>
              </w:rPr>
              <w:t>(</w:t>
            </w:r>
            <w:r w:rsidRPr="008A2D86">
              <w:rPr>
                <w:rFonts w:eastAsia="標楷體" w:hint="eastAsia"/>
                <w:sz w:val="22"/>
              </w:rPr>
              <w:t>上限</w:t>
            </w:r>
            <w:r w:rsidRPr="008A2D86">
              <w:rPr>
                <w:rFonts w:eastAsia="標楷體" w:hint="eastAsia"/>
                <w:sz w:val="22"/>
              </w:rPr>
              <w:t>10,000</w:t>
            </w:r>
            <w:r w:rsidRPr="008A2D86">
              <w:rPr>
                <w:rFonts w:eastAsia="標楷體" w:hint="eastAsia"/>
                <w:sz w:val="22"/>
              </w:rPr>
              <w:t>元</w:t>
            </w:r>
            <w:r w:rsidRPr="008A2D8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ind w:rightChars="75" w:right="180"/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812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執行計畫辦理活動所需租車費用、差旅費用，依國內出差旅費要點核實報支。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BA29DA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BA29DA" w:rsidRPr="00E837DF" w:rsidTr="00037441">
        <w:trPr>
          <w:trHeight w:val="835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校外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2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執行計畫辦理講座活動、研習會及座談會，實際擔任授課人員之鐘點費</w:t>
            </w:r>
            <w:r w:rsidRPr="008A2D86">
              <w:rPr>
                <w:rFonts w:eastAsia="標楷體" w:hint="eastAsia"/>
                <w:sz w:val="22"/>
              </w:rPr>
              <w:t>。如屬教師原授課時段，則不得重複支領。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BA29DA" w:rsidRPr="00222EDE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BA29DA" w:rsidRPr="00E837DF" w:rsidRDefault="00BA29DA" w:rsidP="00037441">
            <w:pPr>
              <w:rPr>
                <w:rFonts w:eastAsia="標楷體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BA29DA" w:rsidRPr="00E837DF" w:rsidTr="00037441">
        <w:trPr>
          <w:trHeight w:val="439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校內</w:t>
            </w:r>
            <w:r w:rsidRPr="00E837DF">
              <w:rPr>
                <w:rFonts w:eastAsia="標楷體"/>
                <w:sz w:val="22"/>
              </w:rPr>
              <w:t>講座鐘點費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222EDE" w:rsidRDefault="00BA29DA" w:rsidP="00037441">
            <w:pPr>
              <w:jc w:val="center"/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sz w:val="22"/>
              </w:rPr>
              <w:t>1</w:t>
            </w:r>
            <w:r w:rsidRPr="00222EDE">
              <w:rPr>
                <w:rFonts w:eastAsia="標楷體"/>
                <w:sz w:val="22"/>
              </w:rPr>
              <w:t>,000</w:t>
            </w:r>
            <w:r w:rsidRPr="00222EDE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</w:p>
        </w:tc>
        <w:tc>
          <w:tcPr>
            <w:tcW w:w="3243" w:type="dxa"/>
            <w:vMerge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機關負擔補充保費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Pr="00E837DF">
              <w:rPr>
                <w:rFonts w:eastAsia="標楷體"/>
                <w:sz w:val="22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依衍生補充保費之業務費經費項目，乘以</w:t>
            </w:r>
            <w:r w:rsidRPr="008A2D86">
              <w:rPr>
                <w:rFonts w:eastAsia="標楷體" w:hint="eastAsia"/>
                <w:sz w:val="22"/>
              </w:rPr>
              <w:t>1.91%</w:t>
            </w:r>
            <w:r w:rsidRPr="008A2D86">
              <w:rPr>
                <w:rFonts w:eastAsia="標楷體"/>
                <w:sz w:val="22"/>
              </w:rPr>
              <w:t>為補充保費。</w:t>
            </w:r>
            <w:r w:rsidRPr="008A2D86">
              <w:rPr>
                <w:rFonts w:eastAsia="標楷體" w:hint="eastAsia"/>
                <w:sz w:val="22"/>
              </w:rPr>
              <w:t>(</w:t>
            </w:r>
            <w:r w:rsidRPr="008A2D86">
              <w:rPr>
                <w:rFonts w:eastAsia="標楷體" w:hint="eastAsia"/>
                <w:sz w:val="22"/>
              </w:rPr>
              <w:t>含講座鐘點費、工讀費等費用</w:t>
            </w:r>
            <w:r w:rsidRPr="008A2D8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7C16B4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12000+3000+12640+6320=48960</w:t>
            </w:r>
          </w:p>
          <w:p w:rsidR="00BA29DA" w:rsidRDefault="00BA29DA" w:rsidP="00037441">
            <w:pPr>
              <w:rPr>
                <w:rFonts w:eastAsia="標楷體"/>
                <w:sz w:val="22"/>
              </w:rPr>
            </w:pPr>
            <w:r w:rsidRPr="007C16B4">
              <w:rPr>
                <w:rFonts w:eastAsia="標楷體"/>
                <w:color w:val="808080" w:themeColor="background1" w:themeShade="80"/>
                <w:sz w:val="22"/>
              </w:rPr>
              <w:t>48960*1.91%=935</w:t>
            </w:r>
          </w:p>
        </w:tc>
      </w:tr>
      <w:tr w:rsidR="00BA29DA" w:rsidRPr="00E837DF" w:rsidTr="00037441">
        <w:trPr>
          <w:trHeight w:val="30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膳宿費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18"/>
              </w:rPr>
            </w:pPr>
            <w:r w:rsidRPr="00652B68">
              <w:rPr>
                <w:rFonts w:eastAsia="標楷體" w:hint="eastAsia"/>
                <w:sz w:val="22"/>
              </w:rPr>
              <w:t>80</w:t>
            </w:r>
            <w:r w:rsidRPr="00652B68"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BA29DA" w:rsidRPr="00E837DF" w:rsidTr="00037441">
        <w:trPr>
          <w:trHeight w:val="838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Default="00BA29DA" w:rsidP="00037441">
            <w:pPr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 w:hint="eastAsia"/>
                <w:sz w:val="22"/>
              </w:rPr>
              <w:t>報名費</w:t>
            </w:r>
          </w:p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註冊費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F16853" w:rsidRDefault="00BA29DA" w:rsidP="00037441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16853">
              <w:rPr>
                <w:rFonts w:eastAsia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4E7E4A" w:rsidRDefault="00BA29DA" w:rsidP="00037441">
            <w:pPr>
              <w:widowControl/>
              <w:jc w:val="right"/>
              <w:rPr>
                <w:rFonts w:eastAsia="標楷體" w:cs="新細明體"/>
                <w:kern w:val="0"/>
              </w:rPr>
            </w:pPr>
            <w:r w:rsidRPr="004E7E4A">
              <w:rPr>
                <w:rFonts w:eastAsia="標楷體" w:cs="新細明體" w:hint="eastAsia"/>
                <w:kern w:val="0"/>
              </w:rPr>
              <w:t>1</w:t>
            </w:r>
            <w:r w:rsidRPr="004E7E4A">
              <w:rPr>
                <w:rFonts w:eastAsia="標楷體" w:cs="新細明體" w:hint="eastAsia"/>
                <w:kern w:val="0"/>
              </w:rPr>
              <w:t>式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E45CAD" w:rsidRDefault="00BA29DA" w:rsidP="00E45CAD">
            <w:pPr>
              <w:pStyle w:val="a7"/>
              <w:numPr>
                <w:ilvl w:val="0"/>
                <w:numId w:val="34"/>
              </w:numPr>
              <w:ind w:leftChars="0"/>
              <w:rPr>
                <w:rFonts w:eastAsia="標楷體"/>
                <w:sz w:val="22"/>
              </w:rPr>
            </w:pPr>
            <w:r w:rsidRPr="00E45CAD">
              <w:rPr>
                <w:rFonts w:eastAsia="標楷體" w:hint="eastAsia"/>
                <w:sz w:val="22"/>
              </w:rPr>
              <w:t>證照考照報名費用，僅補助考取證照者。</w:t>
            </w:r>
          </w:p>
          <w:p w:rsidR="00E45CAD" w:rsidRPr="00E45CAD" w:rsidRDefault="00E45CAD" w:rsidP="00E45CAD">
            <w:pPr>
              <w:pStyle w:val="a7"/>
              <w:numPr>
                <w:ilvl w:val="0"/>
                <w:numId w:val="34"/>
              </w:numPr>
              <w:ind w:leftChars="0"/>
              <w:rPr>
                <w:rFonts w:eastAsia="標楷體" w:hint="eastAsia"/>
                <w:sz w:val="22"/>
              </w:rPr>
            </w:pPr>
            <w:r w:rsidRPr="00E45CAD">
              <w:rPr>
                <w:rFonts w:eastAsia="標楷體" w:hint="eastAsia"/>
                <w:sz w:val="22"/>
              </w:rPr>
              <w:t>參賽相關報名費用，需檢附收據核實報支。</w:t>
            </w:r>
            <w:bookmarkStart w:id="0" w:name="_GoBack"/>
            <w:bookmarkEnd w:id="0"/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7C16B4" w:rsidRDefault="00BA29DA" w:rsidP="00037441">
            <w:pPr>
              <w:ind w:leftChars="16" w:left="38" w:firstLine="2"/>
              <w:rPr>
                <w:rFonts w:eastAsia="標楷體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5(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)*1000=5000</w:t>
            </w:r>
          </w:p>
        </w:tc>
      </w:tr>
      <w:tr w:rsidR="00BA29DA" w:rsidRPr="00E837DF" w:rsidTr="00037441">
        <w:trPr>
          <w:trHeight w:val="838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BA29DA" w:rsidRPr="00380954" w:rsidRDefault="00BA29DA" w:rsidP="0003744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1077CC">
              <w:rPr>
                <w:rFonts w:eastAsia="標楷體"/>
                <w:sz w:val="22"/>
              </w:rPr>
              <w:t>保險費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次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29DA" w:rsidRPr="00380954" w:rsidRDefault="00BA29DA" w:rsidP="00037441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BA29DA" w:rsidRPr="008A2D86" w:rsidRDefault="00BA29DA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8A2D86">
              <w:rPr>
                <w:rFonts w:eastAsia="標楷體" w:hint="eastAsia"/>
                <w:sz w:val="22"/>
              </w:rPr>
              <w:t>執行計畫辦理會議、講座及活動所需之平安保險費。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F11AC2" w:rsidRPr="00E837DF" w:rsidTr="00037441">
        <w:trPr>
          <w:trHeight w:val="838"/>
          <w:jc w:val="center"/>
        </w:trPr>
        <w:tc>
          <w:tcPr>
            <w:tcW w:w="10870" w:type="dxa"/>
            <w:gridSpan w:val="6"/>
            <w:shd w:val="clear" w:color="auto" w:fill="auto"/>
            <w:vAlign w:val="center"/>
          </w:tcPr>
          <w:p w:rsidR="00F11AC2" w:rsidRPr="001077CC" w:rsidRDefault="00F11AC2" w:rsidP="00037441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F11AC2" w:rsidRPr="00136610" w:rsidRDefault="00F11AC2" w:rsidP="00037441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>
              <w:rPr>
                <w:rFonts w:eastAsia="標楷體" w:hint="eastAsia"/>
                <w:sz w:val="22"/>
              </w:rPr>
              <w:t>，補助總額為</w:t>
            </w:r>
            <w:r w:rsidRPr="00F11AC2">
              <w:rPr>
                <w:rFonts w:eastAsia="標楷體" w:hint="eastAsia"/>
                <w:b/>
                <w:color w:val="FF0000"/>
                <w:sz w:val="22"/>
              </w:rPr>
              <w:t>三萬元</w:t>
            </w:r>
            <w:r w:rsidRPr="00136610">
              <w:rPr>
                <w:rFonts w:eastAsia="標楷體" w:hint="eastAsia"/>
                <w:sz w:val="22"/>
              </w:rPr>
              <w:t>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F11AC2" w:rsidRPr="00136610" w:rsidRDefault="00F11AC2" w:rsidP="00037441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 w:rsidRPr="00136610">
              <w:rPr>
                <w:rFonts w:eastAsia="標楷體"/>
                <w:sz w:val="22"/>
              </w:rPr>
              <w:t>本計畫經費將於</w:t>
            </w:r>
            <w:r w:rsidRPr="00136610"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9</w:t>
            </w:r>
            <w:r w:rsidRPr="00136610">
              <w:rPr>
                <w:rFonts w:eastAsia="標楷體"/>
                <w:sz w:val="22"/>
              </w:rPr>
              <w:t>年</w:t>
            </w:r>
            <w:r w:rsidRPr="00136610">
              <w:rPr>
                <w:rFonts w:eastAsia="標楷體" w:hint="eastAsia"/>
                <w:sz w:val="22"/>
              </w:rPr>
              <w:t>12</w:t>
            </w:r>
            <w:r w:rsidRPr="00136610">
              <w:rPr>
                <w:rFonts w:eastAsia="標楷體"/>
                <w:sz w:val="22"/>
              </w:rPr>
              <w:t>月</w:t>
            </w:r>
            <w:r w:rsidRPr="00136610">
              <w:rPr>
                <w:rFonts w:eastAsia="標楷體" w:hint="eastAsia"/>
                <w:sz w:val="22"/>
              </w:rPr>
              <w:t>1</w:t>
            </w:r>
            <w:r w:rsidRPr="00136610">
              <w:rPr>
                <w:rFonts w:eastAsia="標楷體"/>
                <w:sz w:val="22"/>
              </w:rPr>
              <w:t>0</w:t>
            </w:r>
            <w:r w:rsidRPr="00136610">
              <w:rPr>
                <w:rFonts w:eastAsia="標楷體"/>
                <w:sz w:val="22"/>
              </w:rPr>
              <w:t>日前核銷完畢。</w:t>
            </w:r>
          </w:p>
          <w:p w:rsidR="00F11AC2" w:rsidRPr="00996465" w:rsidRDefault="00F11AC2" w:rsidP="00037441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請將備註說明處刪除，撰寫經費編列細項說明。</w:t>
            </w:r>
          </w:p>
        </w:tc>
      </w:tr>
      <w:tr w:rsidR="00BA29DA" w:rsidRPr="00E837DF" w:rsidTr="00037441">
        <w:trPr>
          <w:trHeight w:val="523"/>
          <w:jc w:val="center"/>
        </w:trPr>
        <w:tc>
          <w:tcPr>
            <w:tcW w:w="7627" w:type="dxa"/>
            <w:gridSpan w:val="5"/>
            <w:shd w:val="clear" w:color="auto" w:fill="FFFFFF" w:themeFill="background1"/>
            <w:vAlign w:val="center"/>
          </w:tcPr>
          <w:p w:rsidR="00BA29DA" w:rsidRPr="00E837DF" w:rsidRDefault="00BA29DA" w:rsidP="00037441">
            <w:pPr>
              <w:jc w:val="right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總計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29DA" w:rsidRPr="00E837DF" w:rsidRDefault="00BA29DA" w:rsidP="00037441">
            <w:pPr>
              <w:jc w:val="both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 xml:space="preserve">　　　　　　</w:t>
            </w:r>
            <w:r w:rsidRPr="00E837DF">
              <w:rPr>
                <w:rFonts w:eastAsia="標楷體"/>
                <w:b/>
              </w:rPr>
              <w:t>元</w:t>
            </w:r>
          </w:p>
        </w:tc>
      </w:tr>
    </w:tbl>
    <w:p w:rsidR="008D7487" w:rsidRDefault="008D7487">
      <w:pPr>
        <w:widowControl/>
        <w:rPr>
          <w:rFonts w:ascii="標楷體" w:eastAsia="標楷體" w:hAnsi="標楷體"/>
          <w:b/>
          <w:sz w:val="32"/>
        </w:rPr>
      </w:pPr>
    </w:p>
    <w:p w:rsidR="00F11AC2" w:rsidRDefault="00F11AC2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B22730" w:rsidRPr="006313C4" w:rsidRDefault="00B22730" w:rsidP="006313C4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2730" w:rsidRPr="00B22730" w:rsidRDefault="00B22730" w:rsidP="00155E82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t>國立屏東大學</w:t>
      </w:r>
      <w:r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</w:p>
    <w:p w:rsidR="00B22730" w:rsidRPr="00A81660" w:rsidRDefault="00B22730" w:rsidP="00B22730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521"/>
        <w:gridCol w:w="273"/>
        <w:gridCol w:w="401"/>
        <w:gridCol w:w="6"/>
        <w:gridCol w:w="48"/>
        <w:gridCol w:w="59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B22730" w:rsidRPr="00CE584B" w:rsidTr="00B22730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8"/>
              </w:rPr>
              <w:t>最高學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B22730">
              <w:rPr>
                <w:rFonts w:ascii="Times New Roman" w:eastAsia="標楷體" w:hAnsi="Times New Roman" w:cs="Times New Roman"/>
                <w:color w:val="000000"/>
                <w:kern w:val="0"/>
                <w:fitText w:val="1000" w:id="1922837249"/>
              </w:rPr>
              <w:t>系所科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92283724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B22730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22837250"/>
              </w:rPr>
              <w:t>E-mai</w:t>
            </w:r>
            <w:r w:rsidRPr="00B22730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1922837250"/>
              </w:rPr>
              <w:t>l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B22730" w:rsidRPr="00CE584B" w:rsidTr="00B22730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B22730" w:rsidRPr="00CE584B" w:rsidTr="00B22730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B22730" w:rsidRPr="00CE584B" w:rsidTr="00B22730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B22730" w:rsidRPr="00CE584B" w:rsidTr="00B22730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F90FD" wp14:editId="7F99F16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6419850" cy="1155700"/>
                      <wp:effectExtent l="19050" t="19050" r="1905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C9F1" id="矩形 3" o:spid="_x0000_s1026" style="position:absolute;margin-left:-3.65pt;margin-top:-.1pt;width:505.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" filled="f" strokecolor="red" strokeweight="3pt"/>
                  </w:pict>
                </mc:Fallback>
              </mc:AlternateConten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週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882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bottom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22730" w:rsidRPr="00CE584B" w:rsidRDefault="00B22730" w:rsidP="00B22730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B22730" w:rsidRPr="00CE584B" w:rsidRDefault="00B22730" w:rsidP="00B22730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</w:tcBorders>
          </w:tcPr>
          <w:p w:rsidR="00B22730" w:rsidRPr="00CE584B" w:rsidRDefault="00B22730" w:rsidP="00B22730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4" w:space="0" w:color="auto"/>
            </w:tcBorders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B22730" w:rsidRPr="00CE584B" w:rsidTr="00B22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B22730" w:rsidRPr="00CE584B" w:rsidRDefault="00B22730" w:rsidP="00B227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B22730" w:rsidRPr="00CE584B" w:rsidTr="00B22730">
        <w:trPr>
          <w:trHeight w:val="281"/>
        </w:trPr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B22730" w:rsidRPr="00CE584B" w:rsidTr="00B22730">
        <w:trPr>
          <w:trHeight w:val="513"/>
        </w:trPr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2730" w:rsidRPr="00CE584B" w:rsidRDefault="00B22730" w:rsidP="00B22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7D55" w:rsidRDefault="00B22730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E7D55" w:rsidRDefault="00AE7D55" w:rsidP="006313C4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B62C55" w:rsidRPr="00F11AC2" w:rsidRDefault="00B22730" w:rsidP="006313C4">
      <w:pPr>
        <w:spacing w:line="300" w:lineRule="exact"/>
        <w:rPr>
          <w:rFonts w:ascii="新細明體" w:hAnsi="新細明體" w:cs="新細明體"/>
          <w:b/>
          <w:color w:val="FF0000"/>
          <w:spacing w:val="-8"/>
          <w:sz w:val="20"/>
          <w:szCs w:val="20"/>
        </w:rPr>
      </w:pPr>
      <w:r w:rsidRPr="00F11AC2">
        <w:rPr>
          <w:rFonts w:ascii="新細明體" w:hAnsi="新細明體" w:cs="新細明體" w:hint="eastAsia"/>
          <w:b/>
          <w:color w:val="FF0000"/>
          <w:spacing w:val="-8"/>
          <w:sz w:val="20"/>
          <w:szCs w:val="20"/>
        </w:rPr>
        <w:t>※紅色框框處不需填寫</w:t>
      </w:r>
    </w:p>
    <w:p w:rsidR="00B62C55" w:rsidRDefault="00B62C55">
      <w:pPr>
        <w:widowControl/>
        <w:rPr>
          <w:rFonts w:ascii="新細明體" w:hAnsi="新細明體" w:cs="新細明體"/>
          <w:b/>
          <w:color w:val="000000"/>
          <w:spacing w:val="-8"/>
          <w:sz w:val="20"/>
          <w:szCs w:val="20"/>
        </w:rPr>
      </w:pPr>
    </w:p>
    <w:sectPr w:rsidR="00B62C55" w:rsidSect="00B1510F">
      <w:footerReference w:type="default" r:id="rId7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65" w:rsidRDefault="00685165" w:rsidP="00D004BC">
      <w:r>
        <w:separator/>
      </w:r>
    </w:p>
  </w:endnote>
  <w:endnote w:type="continuationSeparator" w:id="0">
    <w:p w:rsidR="00685165" w:rsidRDefault="00685165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3B498F" w:rsidRDefault="003B498F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AD" w:rsidRPr="00E45CA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65" w:rsidRDefault="00685165" w:rsidP="00D004BC">
      <w:r>
        <w:separator/>
      </w:r>
    </w:p>
  </w:footnote>
  <w:footnote w:type="continuationSeparator" w:id="0">
    <w:p w:rsidR="00685165" w:rsidRDefault="00685165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8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31"/>
  </w:num>
  <w:num w:numId="10">
    <w:abstractNumId w:val="14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32"/>
  </w:num>
  <w:num w:numId="16">
    <w:abstractNumId w:val="19"/>
  </w:num>
  <w:num w:numId="17">
    <w:abstractNumId w:val="3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28"/>
  </w:num>
  <w:num w:numId="31">
    <w:abstractNumId w:val="29"/>
  </w:num>
  <w:num w:numId="32">
    <w:abstractNumId w:val="4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37441"/>
    <w:rsid w:val="00043C01"/>
    <w:rsid w:val="000C09B5"/>
    <w:rsid w:val="000E2017"/>
    <w:rsid w:val="000E5824"/>
    <w:rsid w:val="000F3455"/>
    <w:rsid w:val="00104FD6"/>
    <w:rsid w:val="0011066C"/>
    <w:rsid w:val="00136610"/>
    <w:rsid w:val="00142947"/>
    <w:rsid w:val="00146E23"/>
    <w:rsid w:val="00155E82"/>
    <w:rsid w:val="00197E73"/>
    <w:rsid w:val="001A70EB"/>
    <w:rsid w:val="001B298A"/>
    <w:rsid w:val="001B4F8A"/>
    <w:rsid w:val="001B6E24"/>
    <w:rsid w:val="001C6A76"/>
    <w:rsid w:val="001D31E2"/>
    <w:rsid w:val="002045CC"/>
    <w:rsid w:val="00217BA1"/>
    <w:rsid w:val="00272848"/>
    <w:rsid w:val="00296F8E"/>
    <w:rsid w:val="002A22A6"/>
    <w:rsid w:val="002C777D"/>
    <w:rsid w:val="003130B4"/>
    <w:rsid w:val="00380954"/>
    <w:rsid w:val="003B498F"/>
    <w:rsid w:val="003E4BB5"/>
    <w:rsid w:val="003F4840"/>
    <w:rsid w:val="003F5EE4"/>
    <w:rsid w:val="00414138"/>
    <w:rsid w:val="00415BD2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84420"/>
    <w:rsid w:val="005A5721"/>
    <w:rsid w:val="005D04A6"/>
    <w:rsid w:val="005D3CD0"/>
    <w:rsid w:val="00621E86"/>
    <w:rsid w:val="006313C4"/>
    <w:rsid w:val="006400AA"/>
    <w:rsid w:val="006411D8"/>
    <w:rsid w:val="00651E18"/>
    <w:rsid w:val="00653F06"/>
    <w:rsid w:val="00685165"/>
    <w:rsid w:val="006C78F9"/>
    <w:rsid w:val="00751D67"/>
    <w:rsid w:val="00751FF8"/>
    <w:rsid w:val="00755C42"/>
    <w:rsid w:val="007579AD"/>
    <w:rsid w:val="00767499"/>
    <w:rsid w:val="00767807"/>
    <w:rsid w:val="00786DF7"/>
    <w:rsid w:val="007B13CC"/>
    <w:rsid w:val="007D2FA4"/>
    <w:rsid w:val="008117AB"/>
    <w:rsid w:val="00825F23"/>
    <w:rsid w:val="00827D46"/>
    <w:rsid w:val="00862A05"/>
    <w:rsid w:val="00863313"/>
    <w:rsid w:val="00866A4E"/>
    <w:rsid w:val="00876FA8"/>
    <w:rsid w:val="00877C9C"/>
    <w:rsid w:val="00882BCF"/>
    <w:rsid w:val="00897D48"/>
    <w:rsid w:val="008C3D6F"/>
    <w:rsid w:val="008D555D"/>
    <w:rsid w:val="008D608F"/>
    <w:rsid w:val="008D7487"/>
    <w:rsid w:val="008E7262"/>
    <w:rsid w:val="008F35A2"/>
    <w:rsid w:val="0090660B"/>
    <w:rsid w:val="00921DDC"/>
    <w:rsid w:val="00943EEA"/>
    <w:rsid w:val="00984B75"/>
    <w:rsid w:val="009B3BCD"/>
    <w:rsid w:val="009D5FDB"/>
    <w:rsid w:val="009E2EC1"/>
    <w:rsid w:val="00A13C10"/>
    <w:rsid w:val="00A17831"/>
    <w:rsid w:val="00A51378"/>
    <w:rsid w:val="00A51674"/>
    <w:rsid w:val="00A53BA9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44BE9"/>
    <w:rsid w:val="00B62C55"/>
    <w:rsid w:val="00B63BD9"/>
    <w:rsid w:val="00B662F3"/>
    <w:rsid w:val="00B672DF"/>
    <w:rsid w:val="00BA29DA"/>
    <w:rsid w:val="00BA70C8"/>
    <w:rsid w:val="00BB0FC4"/>
    <w:rsid w:val="00BB69BE"/>
    <w:rsid w:val="00BD3DAC"/>
    <w:rsid w:val="00C0279A"/>
    <w:rsid w:val="00C310E3"/>
    <w:rsid w:val="00C70E66"/>
    <w:rsid w:val="00C74A3E"/>
    <w:rsid w:val="00C91736"/>
    <w:rsid w:val="00C91F92"/>
    <w:rsid w:val="00CA24AB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28A7"/>
    <w:rsid w:val="00DD6F86"/>
    <w:rsid w:val="00DE16A2"/>
    <w:rsid w:val="00DE4BAB"/>
    <w:rsid w:val="00DF1879"/>
    <w:rsid w:val="00E1663B"/>
    <w:rsid w:val="00E346B7"/>
    <w:rsid w:val="00E363E9"/>
    <w:rsid w:val="00E45CAD"/>
    <w:rsid w:val="00E5260E"/>
    <w:rsid w:val="00EA2DEC"/>
    <w:rsid w:val="00EC2FAD"/>
    <w:rsid w:val="00ED7B6B"/>
    <w:rsid w:val="00EF0988"/>
    <w:rsid w:val="00F0769E"/>
    <w:rsid w:val="00F11AC2"/>
    <w:rsid w:val="00F15288"/>
    <w:rsid w:val="00F3301E"/>
    <w:rsid w:val="00F45C40"/>
    <w:rsid w:val="00F526DC"/>
    <w:rsid w:val="00F74DF5"/>
    <w:rsid w:val="00F94693"/>
    <w:rsid w:val="00F96893"/>
    <w:rsid w:val="00FA0E42"/>
    <w:rsid w:val="00FA6C6E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15A3F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2020-04-08T09:06:00Z</dcterms:created>
  <dcterms:modified xsi:type="dcterms:W3CDTF">2020-04-15T02:12:00Z</dcterms:modified>
</cp:coreProperties>
</file>